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E1" w:rsidRPr="00CF4A7C" w:rsidRDefault="007D44E1" w:rsidP="007D44E1">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CF4A7C">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ind w:firstLine="567"/>
        <w:jc w:val="both"/>
      </w:pPr>
      <w:bookmarkStart w:id="1" w:name="_Hlk52883211"/>
      <w:r>
        <w:t xml:space="preserve">Локализация: </w:t>
      </w:r>
      <w:hyperlink r:id="rId7" w:history="1">
        <w:r w:rsidRPr="00CF4A7C">
          <w:rPr>
            <w:rStyle w:val="a3"/>
          </w:rPr>
          <w:t>пожарная безопасность</w:t>
        </w:r>
      </w:hyperlink>
      <w:r>
        <w:t xml:space="preserve"> на блог-инженера.рф</w:t>
      </w:r>
      <w:bookmarkEnd w:id="1"/>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8"/>
          <w:footerReference w:type="default" r:id="rId9"/>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2" w:name="Par26"/>
      <w:bookmarkEnd w:id="2"/>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В отношении здания или сооружения (кроме жилых домов), в которых могут одновременно </w:t>
      </w:r>
      <w:r w:rsidRPr="00CF4A7C">
        <w:lastRenderedPageBreak/>
        <w:t>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D44E1" w:rsidRPr="00CF4A7C" w:rsidRDefault="007D44E1" w:rsidP="007D44E1">
      <w:pPr>
        <w:pStyle w:val="ConsPlusNormal"/>
        <w:spacing w:before="240"/>
        <w:ind w:firstLine="540"/>
        <w:jc w:val="both"/>
      </w:pPr>
      <w:r w:rsidRPr="00CF4A7C">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пожарной </w:t>
      </w:r>
      <w:r w:rsidRPr="00CF4A7C">
        <w:lastRenderedPageBreak/>
        <w:t>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D44E1" w:rsidRPr="00CF4A7C" w:rsidRDefault="007D44E1" w:rsidP="007D44E1">
      <w:pPr>
        <w:pStyle w:val="ConsPlusNormal"/>
        <w:spacing w:before="240"/>
        <w:ind w:firstLine="540"/>
        <w:jc w:val="both"/>
      </w:pPr>
      <w:r w:rsidRPr="00CF4A7C">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lastRenderedPageBreak/>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r w:rsidRPr="00CF4A7C">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D44E1" w:rsidRPr="00CF4A7C" w:rsidRDefault="007D44E1" w:rsidP="007D44E1">
      <w:pPr>
        <w:pStyle w:val="ConsPlusNormal"/>
        <w:spacing w:before="240"/>
        <w:ind w:firstLine="540"/>
        <w:jc w:val="both"/>
      </w:pPr>
      <w:r w:rsidRPr="00CF4A7C">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б) проводить перед началом или во время представления огневые, покрасочные и другие пожароопасные и пожаровзрывоопасные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D44E1" w:rsidRPr="00CF4A7C" w:rsidRDefault="007D44E1" w:rsidP="007D44E1">
      <w:pPr>
        <w:pStyle w:val="ConsPlusNormal"/>
        <w:spacing w:before="240"/>
        <w:ind w:firstLine="540"/>
        <w:jc w:val="both"/>
      </w:pPr>
      <w:r w:rsidRPr="00CF4A7C">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Не допускается устанавливать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б) пользоваться розетками, рубильниками, другими электроустановочными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Очистка вентиляционных систем взрывопожароопасных и пожароопасных помещений осуществляется взрывопожаробезопасными способами.</w:t>
      </w:r>
    </w:p>
    <w:p w:rsidR="007D44E1" w:rsidRPr="00CF4A7C" w:rsidRDefault="007D44E1" w:rsidP="007D44E1">
      <w:pPr>
        <w:pStyle w:val="ConsPlusNormal"/>
        <w:spacing w:before="240"/>
        <w:ind w:firstLine="540"/>
        <w:jc w:val="both"/>
      </w:pPr>
      <w:r w:rsidRPr="00CF4A7C">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3" w:name="Par189"/>
      <w:bookmarkEnd w:id="3"/>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D44E1" w:rsidRPr="00CF4A7C" w:rsidRDefault="007D44E1" w:rsidP="007D44E1">
      <w:pPr>
        <w:pStyle w:val="ConsPlusNormal"/>
        <w:spacing w:before="240"/>
        <w:ind w:firstLine="540"/>
        <w:jc w:val="both"/>
      </w:pPr>
      <w:r w:rsidRPr="00CF4A7C">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D44E1" w:rsidRPr="00CF4A7C" w:rsidRDefault="007D44E1" w:rsidP="007D44E1">
      <w:pPr>
        <w:pStyle w:val="ConsPlusNormal"/>
        <w:spacing w:before="240"/>
        <w:ind w:firstLine="540"/>
        <w:jc w:val="both"/>
      </w:pPr>
      <w:r w:rsidRPr="00CF4A7C">
        <w:t>Границы уборки указанных территорий определяются границами земельного участка на 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D44E1" w:rsidRPr="00CF4A7C" w:rsidRDefault="007D44E1" w:rsidP="007D44E1">
      <w:pPr>
        <w:pStyle w:val="ConsPlusNormal"/>
        <w:spacing w:before="240"/>
        <w:ind w:firstLine="540"/>
        <w:jc w:val="both"/>
      </w:pPr>
      <w:r w:rsidRPr="00CF4A7C">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7D44E1" w:rsidRPr="00CF4A7C" w:rsidRDefault="007D44E1" w:rsidP="007D44E1">
      <w:pPr>
        <w:pStyle w:val="ConsPlusNormal"/>
        <w:spacing w:before="240"/>
        <w:ind w:firstLine="540"/>
        <w:jc w:val="both"/>
      </w:pPr>
      <w:r w:rsidRPr="00CF4A7C">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4" w:name="Par226"/>
      <w:bookmarkEnd w:id="4"/>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r w:rsidRPr="00CF4A7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D44E1" w:rsidRPr="00CF4A7C" w:rsidRDefault="007D44E1" w:rsidP="007D44E1">
      <w:pPr>
        <w:pStyle w:val="ConsPlusNormal"/>
        <w:spacing w:before="240"/>
        <w:ind w:firstLine="540"/>
        <w:jc w:val="both"/>
      </w:pPr>
      <w:r w:rsidRPr="00CF4A7C">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79. При эксплуатации котельных и других теплопроизводящих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б) располагать топливо, другие горючие вещества и материалы на предтопочном листе;</w:t>
      </w:r>
    </w:p>
    <w:p w:rsidR="007D44E1" w:rsidRPr="00CF4A7C" w:rsidRDefault="007D44E1" w:rsidP="007D44E1">
      <w:pPr>
        <w:pStyle w:val="ConsPlusNormal"/>
        <w:spacing w:before="240"/>
        <w:ind w:firstLine="540"/>
        <w:jc w:val="both"/>
      </w:pPr>
      <w:r w:rsidRPr="00CF4A7C">
        <w:t>в) применять для розжига печей бензин, керосин, дизельное топливо и другие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t>присоединение деталей газовой арматуры с помощью искрообразующего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D44E1" w:rsidRPr="00CF4A7C" w:rsidRDefault="007D44E1" w:rsidP="007D44E1">
      <w:pPr>
        <w:pStyle w:val="ConsPlusNormal"/>
        <w:spacing w:before="240"/>
        <w:ind w:firstLine="540"/>
        <w:jc w:val="both"/>
      </w:pPr>
      <w:r w:rsidRPr="00CF4A7C">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spacing w:before="240"/>
        <w:ind w:firstLine="540"/>
        <w:jc w:val="both"/>
      </w:pPr>
      <w:r w:rsidRPr="00CF4A7C">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D44E1" w:rsidRPr="00CF4A7C" w:rsidRDefault="007D44E1" w:rsidP="007D44E1">
      <w:pPr>
        <w:pStyle w:val="ConsPlusNormal"/>
        <w:spacing w:before="240"/>
        <w:ind w:firstLine="540"/>
        <w:jc w:val="both"/>
      </w:pPr>
      <w:r w:rsidRPr="00CF4A7C">
        <w:t>137. Запрещается для чистки загрузочной воронки рубительной машины применять металлические предметы.</w:t>
      </w:r>
    </w:p>
    <w:p w:rsidR="007D44E1" w:rsidRPr="00CF4A7C" w:rsidRDefault="007D44E1" w:rsidP="007D44E1">
      <w:pPr>
        <w:pStyle w:val="ConsPlusNormal"/>
        <w:spacing w:before="240"/>
        <w:ind w:firstLine="540"/>
        <w:jc w:val="both"/>
      </w:pPr>
      <w:r w:rsidRPr="00CF4A7C">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Производить термообработку недопрессованных древесно-стружечных плит с рыхлыми 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154. Запас готовых спичек в зоне коробконамазочных и упаковочных машин не должен 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з) при реконструкции и ремонте прокладка через кабельные сооружения каких-либо транзитных коммуникаций и шинопроводов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а) подвешивать на металлоподаватель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д) настилать полы из горючих материалов в гартоплавильных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r w:rsidRPr="00CF4A7C">
        <w:t>Графитирование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D44E1" w:rsidRPr="00CF4A7C" w:rsidRDefault="007D44E1" w:rsidP="007D44E1">
      <w:pPr>
        <w:pStyle w:val="ConsPlusNormal"/>
        <w:spacing w:before="240"/>
        <w:ind w:firstLine="540"/>
        <w:jc w:val="both"/>
      </w:pPr>
      <w:r w:rsidRPr="00CF4A7C">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t>187. Зернотока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Указанные продукты необходимо складировать отдельно и не менее 48 часов осуществлять контроль за их температурным состоянием.</w:t>
      </w:r>
    </w:p>
    <w:p w:rsidR="007D44E1" w:rsidRPr="00CF4A7C" w:rsidRDefault="007D44E1" w:rsidP="007D44E1">
      <w:pPr>
        <w:pStyle w:val="ConsPlusNormal"/>
        <w:spacing w:before="240"/>
        <w:ind w:firstLine="540"/>
        <w:jc w:val="both"/>
      </w:pPr>
      <w:r w:rsidRPr="00CF4A7C">
        <w:t>195. Приготовленную и затаренную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D44E1" w:rsidRPr="00CF4A7C" w:rsidRDefault="007D44E1" w:rsidP="007D44E1">
      <w:pPr>
        <w:pStyle w:val="ConsPlusNormal"/>
        <w:spacing w:before="240"/>
        <w:ind w:firstLine="540"/>
        <w:jc w:val="both"/>
      </w:pPr>
      <w:r w:rsidRPr="00CF4A7C">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7D44E1" w:rsidRPr="00CF4A7C" w:rsidRDefault="007D44E1" w:rsidP="007D44E1">
      <w:pPr>
        <w:pStyle w:val="ConsPlusNormal"/>
        <w:spacing w:before="240"/>
        <w:ind w:firstLine="540"/>
        <w:jc w:val="both"/>
      </w:pPr>
      <w:r w:rsidRPr="00CF4A7C">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D44E1" w:rsidRPr="00CF4A7C" w:rsidRDefault="007D44E1" w:rsidP="007D44E1">
      <w:pPr>
        <w:pStyle w:val="ConsPlusNormal"/>
        <w:spacing w:before="240"/>
        <w:ind w:firstLine="540"/>
        <w:jc w:val="both"/>
      </w:pPr>
      <w:r w:rsidRPr="00CF4A7C">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Для отопления киосков должны применяться масляные электрорадиаторы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хранение товара в размере более суточной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225. В шлакоуборочных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232. Эстакады и площадки необходимо очищать от остатков нефтепродуктов не реже 1 раза в 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содержать пролетные строения и другие конструкции не очищенными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 Транспортирование пожаровзрывоопасных и пожароопасных</w:t>
      </w:r>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246. Запрещается погрузка в один вагон или контейнер пожаровзрывоопасных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254. Руководитель организации обеспечивает места погрузки и разгрузки пожаровзрывоопасных и пожароопасных веществ и материалов:</w:t>
      </w:r>
    </w:p>
    <w:p w:rsidR="007D44E1" w:rsidRPr="00CF4A7C" w:rsidRDefault="007D44E1" w:rsidP="007D44E1">
      <w:pPr>
        <w:pStyle w:val="ConsPlusNormal"/>
        <w:spacing w:before="240"/>
        <w:ind w:firstLine="540"/>
        <w:jc w:val="both"/>
      </w:pPr>
      <w:r w:rsidRPr="00CF4A7C">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D44E1" w:rsidRPr="00CF4A7C" w:rsidRDefault="007D44E1" w:rsidP="007D44E1">
      <w:pPr>
        <w:pStyle w:val="ConsPlusNormal"/>
        <w:spacing w:before="240"/>
        <w:ind w:firstLine="540"/>
        <w:jc w:val="both"/>
      </w:pPr>
      <w:r w:rsidRPr="00CF4A7C">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264. Операции по наливу и сливу должны проводиться при заземленных трубопроводах с помощью резино-тканевых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XIII. Сливоналивные операции со сжиженным</w:t>
      </w:r>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г) нет либо не читаемы установленные клеймы и надписи;</w:t>
      </w:r>
    </w:p>
    <w:p w:rsidR="007D44E1" w:rsidRPr="00CF4A7C" w:rsidRDefault="007D44E1" w:rsidP="007D44E1">
      <w:pPr>
        <w:pStyle w:val="ConsPlusNormal"/>
        <w:spacing w:before="240"/>
        <w:ind w:firstLine="540"/>
        <w:jc w:val="both"/>
      </w:pPr>
      <w:r w:rsidRPr="00CF4A7C">
        <w:t>д) повреждена цилиндрическая часть котла или днища (трещины, вмятины, заметные 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а) ремонтировать котел в груженом состоянии, а также в порожнем состоянии до производства 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средств в складских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 А,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дыхательные клапаны и огнепреградители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D44E1" w:rsidRPr="00CF4A7C" w:rsidRDefault="007D44E1" w:rsidP="007D44E1">
      <w:pPr>
        <w:pStyle w:val="ConsPlusNormal"/>
        <w:spacing w:before="240"/>
        <w:ind w:firstLine="540"/>
        <w:jc w:val="both"/>
      </w:pPr>
      <w:r w:rsidRPr="00CF4A7C">
        <w:t>е) засыпать зерно выше уровня транспортерной ленты и допускать трение ленты о 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D44E1" w:rsidRPr="00CF4A7C" w:rsidRDefault="007D44E1" w:rsidP="007D44E1">
      <w:pPr>
        <w:pStyle w:val="ConsPlusNormal"/>
        <w:spacing w:before="240"/>
        <w:ind w:firstLine="540"/>
        <w:jc w:val="both"/>
      </w:pPr>
      <w:r w:rsidRPr="00CF4A7C">
        <w:t>д)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б) следует исключить попадание в штабели при укладке угля на хранение древесины, ткани, 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D44E1" w:rsidRPr="00CF4A7C" w:rsidRDefault="007D44E1" w:rsidP="007D44E1">
      <w:pPr>
        <w:pStyle w:val="ConsPlusNormal"/>
        <w:spacing w:before="240"/>
        <w:ind w:firstLine="540"/>
        <w:jc w:val="both"/>
      </w:pPr>
      <w:r w:rsidRPr="00CF4A7C">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Проемы в зданиях и сооружениях при временном их утеплении заполняются негорючими или слабогорючими материалами.</w:t>
      </w:r>
    </w:p>
    <w:p w:rsidR="007D44E1" w:rsidRPr="00CF4A7C" w:rsidRDefault="007D44E1" w:rsidP="007D44E1">
      <w:pPr>
        <w:pStyle w:val="ConsPlusNormal"/>
        <w:spacing w:before="240"/>
        <w:ind w:firstLine="540"/>
        <w:jc w:val="both"/>
      </w:pPr>
      <w:r w:rsidRPr="00CF4A7C">
        <w:t>321. Временные сооружения (тепляки) для устройства полов и производства других работ выполняются из негорючих или слабогорючих материалов.</w:t>
      </w:r>
    </w:p>
    <w:p w:rsidR="007D44E1" w:rsidRPr="00CF4A7C" w:rsidRDefault="007D44E1" w:rsidP="007D44E1">
      <w:pPr>
        <w:pStyle w:val="ConsPlusNormal"/>
        <w:spacing w:before="240"/>
        <w:ind w:firstLine="540"/>
        <w:jc w:val="both"/>
      </w:pPr>
      <w:r w:rsidRPr="00CF4A7C">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а) оборудование теплопроизводящих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в) обеспечение вентиляцией помещения с теплопроизводящими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333. При эксплуатации теплопроизводящих установок запрещается:</w:t>
      </w:r>
    </w:p>
    <w:p w:rsidR="007D44E1" w:rsidRPr="00CF4A7C" w:rsidRDefault="007D44E1" w:rsidP="007D44E1">
      <w:pPr>
        <w:pStyle w:val="ConsPlusNormal"/>
        <w:spacing w:before="240"/>
        <w:ind w:firstLine="540"/>
        <w:jc w:val="both"/>
      </w:pPr>
      <w:r w:rsidRPr="00CF4A7C">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t>б) работать при неотрегулированной форсунке;</w:t>
      </w:r>
    </w:p>
    <w:p w:rsidR="007D44E1" w:rsidRPr="00CF4A7C" w:rsidRDefault="007D44E1" w:rsidP="007D44E1">
      <w:pPr>
        <w:pStyle w:val="ConsPlusNormal"/>
        <w:spacing w:before="240"/>
        <w:ind w:firstLine="540"/>
        <w:jc w:val="both"/>
      </w:pPr>
      <w:r w:rsidRPr="00CF4A7C">
        <w:t>в) применять резиновые, полимерные шланги и муфты для соединения топливопроводов;</w:t>
      </w:r>
    </w:p>
    <w:p w:rsidR="007D44E1" w:rsidRPr="00CF4A7C" w:rsidRDefault="007D44E1" w:rsidP="007D44E1">
      <w:pPr>
        <w:pStyle w:val="ConsPlusNormal"/>
        <w:spacing w:before="240"/>
        <w:ind w:firstLine="540"/>
        <w:jc w:val="both"/>
      </w:pPr>
      <w:r w:rsidRPr="00CF4A7C">
        <w:t>г) устраивать ограждения из горючих материалов около теплопроизводящей установки и расходных баков;</w:t>
      </w:r>
    </w:p>
    <w:p w:rsidR="007D44E1" w:rsidRPr="00CF4A7C" w:rsidRDefault="007D44E1" w:rsidP="007D44E1">
      <w:pPr>
        <w:pStyle w:val="ConsPlusNormal"/>
        <w:spacing w:before="240"/>
        <w:ind w:firstLine="540"/>
        <w:jc w:val="both"/>
      </w:pPr>
      <w:r w:rsidRPr="00CF4A7C">
        <w:t>д) отогревать топливопроводы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ж) регулировать зазор между электродами свечей при работающей теплопроизводящей установке;</w:t>
      </w:r>
    </w:p>
    <w:p w:rsidR="007D44E1" w:rsidRPr="00CF4A7C" w:rsidRDefault="007D44E1" w:rsidP="007D44E1">
      <w:pPr>
        <w:pStyle w:val="ConsPlusNormal"/>
        <w:spacing w:before="240"/>
        <w:ind w:firstLine="540"/>
        <w:jc w:val="both"/>
      </w:pPr>
      <w:r w:rsidRPr="00CF4A7C">
        <w:t>з) допускать работу теплопроизводящей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D44E1" w:rsidRPr="00CF4A7C" w:rsidRDefault="007D44E1" w:rsidP="007D44E1">
      <w:pPr>
        <w:pStyle w:val="ConsPlusNormal"/>
        <w:spacing w:before="240"/>
        <w:ind w:firstLine="540"/>
        <w:jc w:val="both"/>
      </w:pPr>
      <w:r w:rsidRPr="00CF4A7C">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D44E1" w:rsidRPr="00CF4A7C" w:rsidRDefault="007D44E1" w:rsidP="007D44E1">
      <w:pPr>
        <w:pStyle w:val="ConsPlusNormal"/>
        <w:spacing w:before="240"/>
        <w:ind w:firstLine="540"/>
        <w:jc w:val="both"/>
      </w:pPr>
      <w:r w:rsidRPr="00CF4A7C">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D44E1" w:rsidRPr="00CF4A7C" w:rsidRDefault="007D44E1" w:rsidP="007D44E1">
      <w:pPr>
        <w:pStyle w:val="ConsPlusNormal"/>
        <w:spacing w:before="240"/>
        <w:ind w:firstLine="540"/>
        <w:jc w:val="both"/>
      </w:pPr>
      <w:r w:rsidRPr="00CF4A7C">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365. При проведении газосварочных или газорезательных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г) проводить продувку шланга для горючих газов кислородом и кислородного шланга горючим газом, а также взаимозаменять шланги при работе;</w:t>
      </w:r>
    </w:p>
    <w:p w:rsidR="007D44E1" w:rsidRPr="00CF4A7C" w:rsidRDefault="007D44E1" w:rsidP="007D44E1">
      <w:pPr>
        <w:pStyle w:val="ConsPlusNormal"/>
        <w:spacing w:before="240"/>
        <w:ind w:firstLine="540"/>
        <w:jc w:val="both"/>
      </w:pPr>
      <w:r w:rsidRPr="00CF4A7C">
        <w:t>д) перекручивать, заламывать или зажимать газоподводящие шланги;</w:t>
      </w:r>
    </w:p>
    <w:p w:rsidR="007D44E1" w:rsidRPr="00CF4A7C" w:rsidRDefault="007D44E1" w:rsidP="007D44E1">
      <w:pPr>
        <w:pStyle w:val="ConsPlusNormal"/>
        <w:spacing w:before="240"/>
        <w:ind w:firstLine="540"/>
        <w:jc w:val="both"/>
      </w:pPr>
      <w:r w:rsidRPr="00CF4A7C">
        <w:t>е) переносить генератор при наличии в газосборнике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D44E1" w:rsidRPr="00CF4A7C" w:rsidRDefault="007D44E1" w:rsidP="007D44E1">
      <w:pPr>
        <w:pStyle w:val="ConsPlusNormal"/>
        <w:spacing w:before="240"/>
        <w:ind w:firstLine="540"/>
        <w:jc w:val="both"/>
      </w:pPr>
      <w:r w:rsidRPr="00CF4A7C">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г) применять горючее для бензо- и керосинорезательных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е) запрещается эксплуатировать бачки, не прошедшие гидроиспытаний,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368. При проведении бензо- и керосинорезательных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377. После окончания обесшламливания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средств с работающими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57"/>
      <w:bookmarkEnd w:id="5"/>
      <w:r w:rsidRPr="00CF4A7C">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в) порядок и нормы хранения и транспортировки пожаровзрывоопасных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r w:rsidRPr="00CF4A7C">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394. В инструкции о мерах пожарной безопасности указываются лица, ответственные за обеспечение пожарной безопасности, в том числе за:</w:t>
      </w:r>
    </w:p>
    <w:p w:rsidR="007D44E1" w:rsidRPr="00CF4A7C" w:rsidRDefault="007D44E1" w:rsidP="007D44E1">
      <w:pPr>
        <w:pStyle w:val="ConsPlusNormal"/>
        <w:spacing w:before="240"/>
        <w:ind w:firstLine="540"/>
        <w:jc w:val="both"/>
      </w:pPr>
      <w:r w:rsidRPr="00CF4A7C">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в) проверку включения автоматических систем противопожарной защиты (систем оповещения людей о пожаре, пожаротушения, противодымной защиты);</w:t>
      </w:r>
    </w:p>
    <w:p w:rsidR="007D44E1" w:rsidRPr="00CF4A7C" w:rsidRDefault="007D44E1" w:rsidP="007D44E1">
      <w:pPr>
        <w:pStyle w:val="ConsPlusNormal"/>
        <w:spacing w:before="240"/>
        <w:ind w:firstLine="540"/>
        <w:jc w:val="both"/>
      </w:pPr>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6" w:name="Par1089"/>
      <w:bookmarkEnd w:id="6"/>
      <w:r w:rsidRPr="00CF4A7C">
        <w:t>XIX. Обеспечение объектов защиты первичными</w:t>
      </w:r>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7" w:name="Par1094"/>
      <w:bookmarkEnd w:id="7"/>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8" w:name="Par1109"/>
      <w:bookmarkEnd w:id="8"/>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9" w:name="Par1127"/>
      <w:bookmarkEnd w:id="9"/>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некапитальных строениях, предназначенных</w:t>
      </w:r>
    </w:p>
    <w:p w:rsidR="007D44E1" w:rsidRPr="00CF4A7C" w:rsidRDefault="007D44E1" w:rsidP="007D44E1">
      <w:pPr>
        <w:pStyle w:val="ConsPlusTitle"/>
        <w:jc w:val="center"/>
      </w:pPr>
      <w:r w:rsidRPr="00CF4A7C">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435. Палатки, в которых размещаются более 10 детей, оснащаются автономными дымовыми пожарными извещателями.</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б) хранить пиротехнические изделия в помещениях, не имеющих оконных проемов или систем вытяжной противодымной вентиляции;</w:t>
      </w:r>
    </w:p>
    <w:p w:rsidR="007D44E1" w:rsidRPr="00CF4A7C" w:rsidRDefault="007D44E1" w:rsidP="007D44E1">
      <w:pPr>
        <w:pStyle w:val="ConsPlusNormal"/>
        <w:spacing w:before="240"/>
        <w:ind w:firstLine="540"/>
        <w:jc w:val="both"/>
      </w:pPr>
      <w:r w:rsidRPr="00CF4A7C">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концертных и спортивных мероприятий с массовым</w:t>
      </w:r>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10" w:name="Par1251"/>
      <w:bookmarkEnd w:id="10"/>
      <w:r w:rsidRPr="00CF4A7C">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ind w:firstLine="567"/>
        <w:jc w:val="both"/>
      </w:pPr>
      <w:r>
        <w:t xml:space="preserve">Локализация: </w:t>
      </w:r>
      <w:hyperlink r:id="rId10" w:history="1">
        <w:r w:rsidRPr="00CF4A7C">
          <w:rPr>
            <w:rStyle w:val="a3"/>
          </w:rPr>
          <w:t>пожарная безопасность</w:t>
        </w:r>
      </w:hyperlink>
      <w:r>
        <w:t xml:space="preserve"> на блог-инженера.рф</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1</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261"/>
      <w:bookmarkEnd w:id="11"/>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В ЗАВИСИМОСТИ ОТ ИХ КАТЕГОРИЙ ПО ПОЖАРНОЙ И ВЗРЫВОПОЖАРНОЙ</w:t>
      </w:r>
    </w:p>
    <w:p w:rsidR="007D44E1" w:rsidRPr="00CF4A7C" w:rsidRDefault="007D44E1" w:rsidP="007D44E1">
      <w:pPr>
        <w:pStyle w:val="ConsPlusTitle"/>
        <w:jc w:val="center"/>
      </w:pPr>
      <w:r w:rsidRPr="00CF4A7C">
        <w:t>ОПАСНОСТИ И КЛАССА ПОЖАРА (ЗА ИСКЛЮЧЕНИЕМ</w:t>
      </w:r>
    </w:p>
    <w:p w:rsidR="007D44E1" w:rsidRPr="00CF4A7C" w:rsidRDefault="007D44E1" w:rsidP="007D44E1">
      <w:pPr>
        <w:pStyle w:val="ConsPlusTitle"/>
        <w:jc w:val="center"/>
      </w:pPr>
      <w:r w:rsidRPr="00CF4A7C">
        <w:t>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В1 -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2</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25"/>
      <w:bookmarkEnd w:id="12"/>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В1 -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3</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393"/>
      <w:bookmarkEnd w:id="13"/>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Газотурбовозы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Электропоезда, дизель-поезда,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с электроотоплением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4</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4" w:name="Par1507"/>
      <w:bookmarkEnd w:id="14"/>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СЕЛЬСКОХОЗЯЙСТВЕННОГО НАЗНАЧЕНИЯ, ЗЕМЛЯХ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5" w:name="Par1513"/>
      <w:bookmarkEnd w:id="15"/>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D44E1" w:rsidRPr="00CF4A7C" w:rsidRDefault="007D44E1" w:rsidP="007D44E1">
      <w:pPr>
        <w:pStyle w:val="ConsPlusNormal"/>
        <w:spacing w:before="240"/>
        <w:ind w:firstLine="540"/>
        <w:jc w:val="both"/>
      </w:pPr>
      <w:bookmarkStart w:id="16" w:name="Par1515"/>
      <w:bookmarkEnd w:id="16"/>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7" w:name="Par1516"/>
      <w:bookmarkEnd w:id="17"/>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сельскохозяйственного назначения, землях</w:t>
      </w:r>
    </w:p>
    <w:p w:rsidR="007D44E1" w:rsidRPr="00CF4A7C" w:rsidRDefault="007D44E1" w:rsidP="007D44E1">
      <w:pPr>
        <w:pStyle w:val="ConsPlusNormal"/>
        <w:jc w:val="right"/>
      </w:pPr>
      <w:r w:rsidRPr="00CF4A7C">
        <w:t>запаса и землях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ЗОНЫ ОЧИСТКИ ТЕРРИТОРИИ ВОКРУГ ОЧАГА ГОРЕНИЯ ОТ СУХОСТОЙНЫХ</w:t>
      </w:r>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5</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577"/>
      <w:bookmarkEnd w:id="18"/>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6</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9" w:name="Par1609"/>
      <w:bookmarkEnd w:id="19"/>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 В</w:t>
            </w:r>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Г и Д</w:t>
            </w:r>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0" w:name="Par1659"/>
      <w:bookmarkEnd w:id="20"/>
      <w:r w:rsidRPr="00CF4A7C">
        <w:t>&lt;*&gt; Условные обозначения щитов:</w:t>
      </w:r>
    </w:p>
    <w:p w:rsidR="007D44E1" w:rsidRPr="00CF4A7C" w:rsidRDefault="007D44E1" w:rsidP="007D44E1">
      <w:pPr>
        <w:pStyle w:val="ConsPlusNormal"/>
        <w:spacing w:before="240"/>
        <w:ind w:firstLine="540"/>
        <w:jc w:val="both"/>
      </w:pPr>
      <w:r w:rsidRPr="00CF4A7C">
        <w:t>ЩП-A - щит пожарный для очагов пожара класса A;</w:t>
      </w:r>
    </w:p>
    <w:p w:rsidR="007D44E1" w:rsidRPr="00CF4A7C" w:rsidRDefault="007D44E1" w:rsidP="007D44E1">
      <w:pPr>
        <w:pStyle w:val="ConsPlusNormal"/>
        <w:spacing w:before="240"/>
        <w:ind w:firstLine="540"/>
        <w:jc w:val="both"/>
      </w:pPr>
      <w:r w:rsidRPr="00CF4A7C">
        <w:t>ЩП-B - щит пожарный для очагов пожара класса B;</w:t>
      </w:r>
    </w:p>
    <w:p w:rsidR="007D44E1" w:rsidRPr="00CF4A7C" w:rsidRDefault="007D44E1" w:rsidP="007D44E1">
      <w:pPr>
        <w:pStyle w:val="ConsPlusNormal"/>
        <w:spacing w:before="240"/>
        <w:ind w:firstLine="540"/>
        <w:jc w:val="both"/>
      </w:pPr>
      <w:r w:rsidRPr="00CF4A7C">
        <w:t>ЩП-E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7</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1" w:name="Par1674"/>
      <w:bookmarkEnd w:id="21"/>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ЩП-A</w:t>
            </w:r>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ЩП-B</w:t>
            </w:r>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ЩП-E</w:t>
            </w:r>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Рукав Ду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8</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(заместителя руководителя) органа</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852"/>
      <w:bookmarkEnd w:id="22"/>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пансионатах,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объектах</w:t>
      </w:r>
    </w:p>
    <w:p w:rsidR="007D44E1" w:rsidRPr="00CF4A7C" w:rsidRDefault="007D44E1" w:rsidP="007D44E1">
      <w:pPr>
        <w:pStyle w:val="ConsPlusNonformat"/>
        <w:jc w:val="both"/>
      </w:pPr>
      <w:r w:rsidRPr="00CF4A7C">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относящихся</w:t>
      </w:r>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населенному пункту</w:t>
      </w:r>
    </w:p>
    <w:p w:rsidR="007D44E1" w:rsidRPr="00CF4A7C" w:rsidRDefault="007D44E1" w:rsidP="007D44E1">
      <w:pPr>
        <w:pStyle w:val="ConsPlusNonformat"/>
        <w:jc w:val="both"/>
      </w:pPr>
      <w:r w:rsidRPr="00CF4A7C">
        <w:t xml:space="preserve">                      подразделениях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r w:rsidRPr="00CF4A7C">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9</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организации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3" w:name="Par1975"/>
      <w:bookmarkEnd w:id="23"/>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собственных</w:t>
      </w:r>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для собственных нужд (далее - территория</w:t>
      </w:r>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подразделениях</w:t>
      </w:r>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r w:rsidRPr="00CF4A7C">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4" w:name="Par2059"/>
      <w:bookmarkEnd w:id="24"/>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5" w:name="Par2061"/>
      <w:bookmarkEnd w:id="25"/>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7D44E1" w:rsidP="007D44E1">
      <w:pPr>
        <w:pStyle w:val="ConsPlusNormal"/>
        <w:ind w:firstLine="567"/>
        <w:jc w:val="both"/>
      </w:pPr>
      <w:r>
        <w:t xml:space="preserve">Локализация: </w:t>
      </w:r>
      <w:hyperlink r:id="rId11" w:history="1">
        <w:r w:rsidRPr="00CF4A7C">
          <w:rPr>
            <w:rStyle w:val="a3"/>
          </w:rPr>
          <w:t>пожарная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45" w:rsidRDefault="00AF7545">
      <w:pPr>
        <w:spacing w:after="0" w:line="240" w:lineRule="auto"/>
      </w:pPr>
      <w:r>
        <w:separator/>
      </w:r>
    </w:p>
  </w:endnote>
  <w:endnote w:type="continuationSeparator" w:id="0">
    <w:p w:rsidR="00AF7545" w:rsidRDefault="00AF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8C" w:rsidRDefault="00C0118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45" w:rsidRDefault="00AF7545">
      <w:pPr>
        <w:spacing w:after="0" w:line="240" w:lineRule="auto"/>
      </w:pPr>
      <w:r>
        <w:separator/>
      </w:r>
    </w:p>
  </w:footnote>
  <w:footnote w:type="continuationSeparator" w:id="0">
    <w:p w:rsidR="00AF7545" w:rsidRDefault="00AF7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8C" w:rsidRDefault="00C0118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E1"/>
    <w:rsid w:val="001A7009"/>
    <w:rsid w:val="002F05C6"/>
    <w:rsid w:val="00677461"/>
    <w:rsid w:val="007D44E1"/>
    <w:rsid w:val="00AF7545"/>
    <w:rsid w:val="00C0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EEB3-FB3F-472C-BC22-362BD4B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073;&#1083;&#1086;&#1075;-&#1080;&#1085;&#1078;&#1077;&#1085;&#1077;&#1088;&#1072;.&#1088;&#1092;/pozharnaya-bezopasno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1073;&#1083;&#1086;&#1075;-&#1080;&#1085;&#1078;&#1077;&#1085;&#1077;&#1088;&#1072;.&#1088;&#1092;/pozharnaya-bezopasnost" TargetMode="External"/><Relationship Id="rId5" Type="http://schemas.openxmlformats.org/officeDocument/2006/relationships/endnotes" Target="endnote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37030</Words>
  <Characters>211072</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Я</cp:lastModifiedBy>
  <cp:revision>2</cp:revision>
  <dcterms:created xsi:type="dcterms:W3CDTF">2021-01-25T11:10:00Z</dcterms:created>
  <dcterms:modified xsi:type="dcterms:W3CDTF">2021-01-25T11:10:00Z</dcterms:modified>
</cp:coreProperties>
</file>